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B520A6">
      <w:pPr>
        <w:widowControl/>
        <w:spacing w:after="0" w:line="540" w:lineRule="exact"/>
        <w:jc w:val="center"/>
        <w:rPr>
          <w:rFonts w:ascii="Arial" w:hAnsi="Arial" w:eastAsia="方正小标宋简体"/>
          <w:b w:val="0"/>
          <w:color w:val="000000"/>
          <w:sz w:val="44"/>
        </w:rPr>
      </w:pPr>
      <w:r>
        <w:rPr>
          <w:rFonts w:ascii="Arial" w:hAnsi="Arial" w:eastAsia="方正小标宋简体"/>
          <w:b w:val="0"/>
          <w:color w:val="000000"/>
          <w:sz w:val="44"/>
        </w:rPr>
        <w:t>加兴乡2025年法治政府建设年度报告</w:t>
      </w:r>
    </w:p>
    <w:p w14:paraId="70F71C50">
      <w:pPr>
        <w:widowControl/>
        <w:spacing w:after="0" w:line="540" w:lineRule="exact"/>
        <w:ind w:firstLine="880" w:firstLineChars="200"/>
        <w:jc w:val="both"/>
        <w:rPr>
          <w:rFonts w:ascii="Arial" w:hAnsi="Arial" w:eastAsia="方正小标宋简体"/>
          <w:b w:val="0"/>
          <w:color w:val="000000"/>
          <w:sz w:val="44"/>
        </w:rPr>
      </w:pPr>
    </w:p>
    <w:p w14:paraId="28C578FA">
      <w:pPr>
        <w:widowControl/>
        <w:spacing w:after="0" w:line="540" w:lineRule="exact"/>
        <w:ind w:firstLine="640" w:firstLineChars="200"/>
        <w:jc w:val="both"/>
        <w:rPr>
          <w:rFonts w:hint="eastAsia" w:ascii="仿宋_GB2312" w:hAnsi="宋体" w:eastAsia="仿宋_GB2312" w:cs="Times New Roman"/>
          <w:kern w:val="2"/>
          <w:sz w:val="32"/>
          <w:szCs w:val="32"/>
          <w:lang w:eastAsia="zh-CN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eastAsia="zh-CN"/>
        </w:rPr>
        <w:t>2025年，加兴乡坚持以习近平新时代中国特色社会主义思想为指导，深入践行习近平法治思想，认真贯彻落实中央、自治区、林芝市及工布江达县关于法治政府建设的各项部署要求，立足乡情实际，把法治建设贯穿于乡村振兴、基层治理、民生保障全过程，推动依法行政水平持续提升、法治环境持续优化。现将全年工作情况报告如下：</w:t>
      </w:r>
    </w:p>
    <w:p w14:paraId="704C1D3E">
      <w:pPr>
        <w:widowControl w:val="0"/>
        <w:spacing w:after="0" w:line="560" w:lineRule="exact"/>
        <w:ind w:firstLine="640" w:firstLineChars="200"/>
        <w:jc w:val="left"/>
        <w:rPr>
          <w:rFonts w:hint="eastAsia" w:ascii="黑体" w:hAnsi="黑体" w:eastAsia="黑体" w:cs="Times New Roman"/>
          <w:kern w:val="2"/>
          <w:sz w:val="32"/>
          <w:szCs w:val="32"/>
          <w:lang w:eastAsia="zh-CN"/>
        </w:rPr>
      </w:pPr>
      <w:r>
        <w:rPr>
          <w:rFonts w:hint="eastAsia" w:ascii="黑体" w:hAnsi="黑体" w:eastAsia="黑体" w:cs="Times New Roman"/>
          <w:kern w:val="2"/>
          <w:sz w:val="32"/>
          <w:szCs w:val="32"/>
          <w:lang w:eastAsia="zh-CN"/>
        </w:rPr>
        <w:t>一、主要工作及成效</w:t>
      </w:r>
    </w:p>
    <w:p w14:paraId="281AD344">
      <w:pPr>
        <w:widowControl/>
        <w:spacing w:after="0" w:line="540" w:lineRule="exact"/>
        <w:ind w:firstLine="640" w:firstLineChars="200"/>
        <w:jc w:val="both"/>
        <w:rPr>
          <w:rFonts w:hint="eastAsia" w:ascii="楷体_GB2312" w:hAnsi="宋体" w:eastAsia="楷体_GB2312" w:cs="宋体"/>
          <w:kern w:val="0"/>
          <w:sz w:val="32"/>
          <w:szCs w:val="32"/>
          <w:lang w:eastAsia="zh-CN"/>
        </w:rPr>
      </w:pPr>
      <w:r>
        <w:rPr>
          <w:rFonts w:hint="eastAsia" w:ascii="楷体_GB2312" w:hAnsi="宋体" w:eastAsia="楷体_GB2312" w:cs="宋体"/>
          <w:kern w:val="0"/>
          <w:sz w:val="32"/>
          <w:szCs w:val="32"/>
          <w:lang w:eastAsia="zh-CN"/>
        </w:rPr>
        <w:t>（一）坚持党的领导，法治建设责任体系不断健全</w:t>
      </w:r>
    </w:p>
    <w:p w14:paraId="10AA9F13">
      <w:pPr>
        <w:widowControl/>
        <w:spacing w:after="0" w:line="540" w:lineRule="exact"/>
        <w:ind w:firstLine="640" w:firstLineChars="200"/>
        <w:jc w:val="both"/>
        <w:rPr>
          <w:rFonts w:hint="eastAsia" w:ascii="仿宋_GB2312" w:hAnsi="宋体" w:eastAsia="仿宋_GB2312" w:cs="Times New Roman"/>
          <w:kern w:val="2"/>
          <w:sz w:val="32"/>
          <w:szCs w:val="32"/>
          <w:lang w:eastAsia="zh-CN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eastAsia="zh-CN"/>
        </w:rPr>
        <w:t>乡党委、政府高度重视法治政府建设，将其纳入全乡年度重点工作统筹推进。调整充实由乡党委书记任组长、乡长及分管领导任副组长的法治建设工作领导小组，明确专人负责日常事务，逐项压实“谁执法谁普法”“谁管理谁普法”“谁服务谁普法”责任，形成党政齐抓、上下联动的工作格局。全年召开专题会议研究法治建设工作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eastAsia="zh-CN"/>
        </w:rPr>
        <w:t>次，制定印发年度工作要点和普法责任清单，细化任务分工，定期调度推进，确保各项工作有人抓、有人管、有成效。</w:t>
      </w:r>
    </w:p>
    <w:p w14:paraId="408357F9">
      <w:pPr>
        <w:widowControl/>
        <w:spacing w:after="0" w:line="540" w:lineRule="exact"/>
        <w:ind w:firstLine="640" w:firstLineChars="200"/>
        <w:jc w:val="both"/>
        <w:rPr>
          <w:rFonts w:hint="eastAsia" w:ascii="仿宋_GB2312" w:hAnsi="宋体" w:eastAsia="仿宋_GB2312" w:cs="Times New Roman"/>
          <w:kern w:val="2"/>
          <w:sz w:val="32"/>
          <w:szCs w:val="32"/>
          <w:lang w:eastAsia="zh-CN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eastAsia="zh-CN"/>
        </w:rPr>
        <w:t>突出抓好“关键少数”学法用法。把习近平法治思想、宪法、民法典、信访工作条例等纳入党委理论学习中心组必学内容，全年组织中心组集中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/>
        </w:rPr>
        <w:t>学习4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eastAsia="zh-CN"/>
        </w:rPr>
        <w:t>次、研讨交流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eastAsia="zh-CN"/>
        </w:rPr>
        <w:t>场次，推动党员干部法治思维和依法办事能力同步提升。严格执行“三重一大”集体决策和村级“四议两公开”制度，规范村级“三资”管理，确保权力在阳光下运行。</w:t>
      </w:r>
    </w:p>
    <w:p w14:paraId="523532FB">
      <w:pPr>
        <w:widowControl/>
        <w:spacing w:after="0" w:line="540" w:lineRule="exact"/>
        <w:ind w:firstLine="640" w:firstLineChars="200"/>
        <w:jc w:val="both"/>
        <w:rPr>
          <w:rFonts w:hint="eastAsia" w:ascii="楷体_GB2312" w:hAnsi="宋体" w:eastAsia="楷体_GB2312" w:cs="宋体"/>
          <w:kern w:val="0"/>
          <w:sz w:val="32"/>
          <w:szCs w:val="32"/>
          <w:lang w:eastAsia="zh-CN"/>
        </w:rPr>
      </w:pPr>
      <w:r>
        <w:rPr>
          <w:rFonts w:hint="eastAsia" w:ascii="楷体_GB2312" w:hAnsi="宋体" w:eastAsia="楷体_GB2312" w:cs="宋体"/>
          <w:kern w:val="0"/>
          <w:sz w:val="32"/>
          <w:szCs w:val="32"/>
          <w:lang w:eastAsia="zh-CN"/>
        </w:rPr>
        <w:t>（二）坚持源头治理，基层平安稳定根基不断夯实</w:t>
      </w:r>
    </w:p>
    <w:p w14:paraId="0344C271">
      <w:pPr>
        <w:widowControl/>
        <w:spacing w:after="0" w:line="540" w:lineRule="exact"/>
        <w:ind w:firstLine="640" w:firstLineChars="200"/>
        <w:jc w:val="both"/>
        <w:rPr>
          <w:rFonts w:hint="eastAsia" w:ascii="仿宋_GB2312" w:hAnsi="宋体" w:eastAsia="仿宋_GB2312" w:cs="Times New Roman"/>
          <w:kern w:val="2"/>
          <w:sz w:val="32"/>
          <w:szCs w:val="32"/>
          <w:lang w:eastAsia="zh-CN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eastAsia="zh-CN"/>
        </w:rPr>
        <w:t>注重基层法治力量培育。围绕人民调解实务、常用法律法规等内容，组织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/>
        </w:rPr>
        <w:t>法律明白人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eastAsia="zh-CN"/>
        </w:rPr>
        <w:t>培训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eastAsia="zh-CN"/>
        </w:rPr>
        <w:t>期，配齐专兼职人民调解员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eastAsia="zh-CN"/>
        </w:rPr>
        <w:t>名，覆盖全乡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/>
        </w:rPr>
        <w:t>8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eastAsia="zh-CN"/>
        </w:rPr>
        <w:t>个行政村，并邀请离任村“两委”成员参与调解工作，发挥其人熟、地熟、事熟的优势，把法律服务延伸到群众家门口。</w:t>
      </w:r>
    </w:p>
    <w:p w14:paraId="45B1C8AF">
      <w:pPr>
        <w:widowControl/>
        <w:spacing w:after="0" w:line="540" w:lineRule="exact"/>
        <w:ind w:firstLine="640" w:firstLineChars="200"/>
        <w:jc w:val="both"/>
        <w:rPr>
          <w:rFonts w:hint="eastAsia" w:ascii="仿宋_GB2312" w:hAnsi="宋体" w:eastAsia="仿宋_GB2312" w:cs="Times New Roman"/>
          <w:kern w:val="2"/>
          <w:sz w:val="32"/>
          <w:szCs w:val="32"/>
          <w:lang w:eastAsia="zh-CN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eastAsia="zh-CN"/>
        </w:rPr>
        <w:t>完善矛盾纠纷多元化解机制。坚持和发展新时代“枫桥经验”，健全乡、村两级调处网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/>
        </w:rPr>
        <w:t>格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eastAsia="zh-CN"/>
        </w:rPr>
        <w:t>，推动人民调解、行政调解、司法调解有效衔接，成功化解各类矛盾纠纷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/>
        </w:rPr>
        <w:t>19</w:t>
      </w:r>
      <w:r>
        <w:rPr>
          <w:rFonts w:hint="eastAsia" w:ascii="仿宋_GB2312" w:hAnsi="等线" w:eastAsia="仿宋_GB2312" w:cs="仿宋_GB2312"/>
          <w:spacing w:val="15"/>
          <w:sz w:val="32"/>
          <w:szCs w:val="32"/>
          <w:shd w:val="clear" w:color="auto" w:fill="FFFFFF"/>
        </w:rPr>
        <w:t>（草场纠纷5起、虫草纠纷4起、劳资纠纷4起、婚姻家庭纠纷1起、邻里纠纷3起、土地纠纷2起）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eastAsia="zh-CN"/>
        </w:rPr>
        <w:t>件，涉及金额</w:t>
      </w:r>
      <w:r>
        <w:rPr>
          <w:rFonts w:hint="eastAsia" w:ascii="仿宋_GB2312" w:hAnsi="等线" w:eastAsia="仿宋_GB2312" w:cs="仿宋_GB2312"/>
          <w:spacing w:val="15"/>
          <w:sz w:val="32"/>
          <w:szCs w:val="32"/>
          <w:shd w:val="clear" w:color="auto" w:fill="FFFFFF"/>
        </w:rPr>
        <w:t>352.277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eastAsia="zh-CN"/>
        </w:rPr>
        <w:t>万元，调解成功率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/>
        </w:rPr>
        <w:t>93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eastAsia="zh-CN"/>
        </w:rPr>
        <w:t>%，基本实现“小事不出村、大事不出乡、矛盾不上交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/>
        </w:rPr>
        <w:t>”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eastAsia="zh-CN"/>
        </w:rPr>
        <w:t>。深化“党建+网格”治理模式，用好“平安西藏APP”，落实网格长、网格员、网格警员职责，做到隐患早发现、纠纷早介入、问题早解决。</w:t>
      </w:r>
    </w:p>
    <w:p w14:paraId="38AD107E">
      <w:pPr>
        <w:widowControl/>
        <w:spacing w:after="0" w:line="540" w:lineRule="exact"/>
        <w:ind w:firstLine="640" w:firstLineChars="200"/>
        <w:jc w:val="both"/>
        <w:rPr>
          <w:rFonts w:hint="eastAsia" w:ascii="楷体_GB2312" w:hAnsi="宋体" w:eastAsia="楷体_GB2312" w:cs="宋体"/>
          <w:kern w:val="0"/>
          <w:sz w:val="32"/>
          <w:szCs w:val="32"/>
          <w:lang w:eastAsia="zh-CN"/>
        </w:rPr>
      </w:pPr>
      <w:r>
        <w:rPr>
          <w:rFonts w:hint="eastAsia" w:ascii="楷体_GB2312" w:hAnsi="宋体" w:eastAsia="楷体_GB2312" w:cs="宋体"/>
          <w:kern w:val="0"/>
          <w:sz w:val="32"/>
          <w:szCs w:val="32"/>
          <w:lang w:eastAsia="zh-CN"/>
        </w:rPr>
        <w:t>（三）坚持普治结合，法治宣传教育实效不断增强</w:t>
      </w:r>
    </w:p>
    <w:p w14:paraId="592EDACE">
      <w:pPr>
        <w:widowControl/>
        <w:spacing w:after="0" w:line="540" w:lineRule="exact"/>
        <w:ind w:firstLine="640" w:firstLineChars="200"/>
        <w:jc w:val="both"/>
        <w:rPr>
          <w:rFonts w:hint="eastAsia" w:ascii="仿宋_GB2312" w:hAnsi="宋体" w:eastAsia="仿宋_GB2312" w:cs="Times New Roman"/>
          <w:kern w:val="2"/>
          <w:sz w:val="32"/>
          <w:szCs w:val="32"/>
          <w:lang w:eastAsia="zh-CN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eastAsia="zh-CN"/>
        </w:rPr>
        <w:t>围绕“八五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/>
        </w:rPr>
        <w:t>”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eastAsia="zh-CN"/>
        </w:rPr>
        <w:t>普法收官要求，深入推进法治宣传“九进</w:t>
      </w:r>
      <w:r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/>
        </w:rPr>
        <w:t>”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eastAsia="zh-CN"/>
        </w:rPr>
        <w:t>活动。紧扣国家宪法日、国际禁毒日、虫草采挖期、开学季等重要节点，采取集中宣讲、现场咨询、发放资料、新媒体推送等多种形式，全年开展藏汉双语普法宣传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/>
        </w:rPr>
        <w:t>30余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eastAsia="zh-CN"/>
        </w:rPr>
        <w:t>场，覆盖群众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/>
        </w:rPr>
        <w:t>2100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eastAsia="zh-CN"/>
        </w:rPr>
        <w:t>余人次，发放宣传资料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/>
        </w:rPr>
        <w:t>560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eastAsia="zh-CN"/>
        </w:rPr>
        <w:t>余份，让法治观念深入人心。</w:t>
      </w:r>
    </w:p>
    <w:p w14:paraId="6A47D9F3">
      <w:pPr>
        <w:widowControl/>
        <w:spacing w:after="0" w:line="540" w:lineRule="exact"/>
        <w:ind w:firstLine="640" w:firstLineChars="200"/>
        <w:jc w:val="both"/>
        <w:rPr>
          <w:rFonts w:hint="eastAsia" w:ascii="仿宋_GB2312" w:hAnsi="宋体" w:eastAsia="仿宋_GB2312" w:cs="Times New Roman"/>
          <w:kern w:val="2"/>
          <w:sz w:val="32"/>
          <w:szCs w:val="32"/>
          <w:lang w:eastAsia="zh-CN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eastAsia="zh-CN"/>
        </w:rPr>
        <w:t>紧扣全乡重点工作开展精准普法。围绕生态保护，宣讲森林法、草原法、野生动物保护法等法律法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/>
        </w:rPr>
        <w:t>规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eastAsia="zh-CN"/>
        </w:rPr>
        <w:t>，引导群众自觉保护白唇鹿、藏马鸡等珍稀野生动物，筑牢生态安全屏障；围绕产业发展，就土地流转、集体资产管理、牦牛养殖、虫草采挖等领域开展专题普法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/>
        </w:rPr>
        <w:t>15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eastAsia="zh-CN"/>
        </w:rPr>
        <w:t>场次，覆盖村干部、产业带头人、经营户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/>
        </w:rPr>
        <w:t>800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eastAsia="zh-CN"/>
        </w:rPr>
        <w:t>余人次，以法治护航乡村产业健康发展。</w:t>
      </w:r>
    </w:p>
    <w:p w14:paraId="1D456A9B">
      <w:pPr>
        <w:widowControl/>
        <w:spacing w:after="0" w:line="540" w:lineRule="exact"/>
        <w:ind w:firstLine="640" w:firstLineChars="200"/>
        <w:jc w:val="both"/>
        <w:rPr>
          <w:rFonts w:hint="eastAsia" w:ascii="仿宋_GB2312" w:hAnsi="宋体" w:eastAsia="仿宋_GB2312" w:cs="Times New Roman"/>
          <w:kern w:val="2"/>
          <w:sz w:val="32"/>
          <w:szCs w:val="32"/>
          <w:lang w:eastAsia="zh-CN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eastAsia="zh-CN"/>
        </w:rPr>
        <w:t>注重典型示范带动。以吉朗村为法治乡村建设示范点，打造藏汉双语法治文化长廊，将法治元素融入生态保护、人居环境整治和产业发展各环节，走出了一条法治赋能乡村振兴的新路子，为全乡提供了可复制、可推广的经验。同步抓好民生领域法治保障，围绕医保、养老、教育、安全生产等开展常态化宣讲和监督检查，组织安全检查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/>
        </w:rPr>
        <w:t>40余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eastAsia="zh-CN"/>
        </w:rPr>
        <w:t>次、专项整治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/>
        </w:rPr>
        <w:t>20余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eastAsia="zh-CN"/>
        </w:rPr>
        <w:t>次，切实维护群众合法权益。</w:t>
      </w:r>
    </w:p>
    <w:p w14:paraId="6528E9D9">
      <w:pPr>
        <w:widowControl w:val="0"/>
        <w:spacing w:after="0" w:line="560" w:lineRule="exact"/>
        <w:ind w:firstLine="640" w:firstLineChars="200"/>
        <w:jc w:val="left"/>
        <w:rPr>
          <w:rFonts w:hint="eastAsia" w:ascii="黑体" w:hAnsi="黑体" w:eastAsia="黑体" w:cs="Times New Roman"/>
          <w:kern w:val="2"/>
          <w:sz w:val="32"/>
          <w:szCs w:val="32"/>
          <w:lang w:eastAsia="zh-CN"/>
        </w:rPr>
      </w:pPr>
      <w:r>
        <w:rPr>
          <w:rFonts w:hint="eastAsia" w:ascii="黑体" w:hAnsi="黑体" w:eastAsia="黑体" w:cs="Times New Roman"/>
          <w:kern w:val="2"/>
          <w:sz w:val="32"/>
          <w:szCs w:val="32"/>
          <w:lang w:eastAsia="zh-CN"/>
        </w:rPr>
        <w:t>二、存在的不足</w:t>
      </w:r>
    </w:p>
    <w:p w14:paraId="34237177">
      <w:pPr>
        <w:widowControl/>
        <w:spacing w:after="0" w:line="540" w:lineRule="exact"/>
        <w:ind w:firstLine="640" w:firstLineChars="200"/>
        <w:jc w:val="both"/>
        <w:rPr>
          <w:rFonts w:hint="eastAsia" w:ascii="仿宋_GB2312" w:hAnsi="宋体" w:eastAsia="仿宋_GB2312" w:cs="Times New Roman"/>
          <w:kern w:val="2"/>
          <w:sz w:val="32"/>
          <w:szCs w:val="32"/>
          <w:lang w:eastAsia="zh-CN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eastAsia="zh-CN"/>
        </w:rPr>
        <w:t>回顾全年工作，我乡法治政府建设虽然取得了一定进展，但仍存在一些薄弱环节：一是部分干部运用法治思维和法治方式解决问题的能力有待提升，法治培训的针对性和深度还需加强；二是普法宣传方式较为传统，新媒体运用不够充分，面向农牧民群众的精准普法仍需深化；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/>
        </w:rPr>
        <w:t>三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eastAsia="zh-CN"/>
        </w:rPr>
        <w:t>是村级法治阵地作用发挥不够均衡，调解队伍业务能力参差不齐，部门间协同联动机制还需进一步完善。</w:t>
      </w:r>
    </w:p>
    <w:p w14:paraId="787E8A1E">
      <w:pPr>
        <w:widowControl w:val="0"/>
        <w:spacing w:after="0" w:line="560" w:lineRule="exact"/>
        <w:ind w:firstLine="640" w:firstLineChars="200"/>
        <w:jc w:val="left"/>
        <w:rPr>
          <w:rFonts w:hint="default" w:ascii="黑体" w:hAnsi="黑体" w:eastAsia="黑体" w:cs="Times New Roman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kern w:val="2"/>
          <w:sz w:val="32"/>
          <w:szCs w:val="32"/>
          <w:lang w:eastAsia="zh-CN"/>
        </w:rPr>
        <w:t>三、2026年工作</w:t>
      </w:r>
      <w:r>
        <w:rPr>
          <w:rFonts w:hint="eastAsia" w:ascii="黑体" w:hAnsi="黑体" w:eastAsia="黑体" w:cs="Times New Roman"/>
          <w:kern w:val="2"/>
          <w:sz w:val="32"/>
          <w:szCs w:val="32"/>
          <w:lang w:val="en-US" w:eastAsia="zh-CN"/>
        </w:rPr>
        <w:t>目标</w:t>
      </w:r>
    </w:p>
    <w:p w14:paraId="1035C689">
      <w:pPr>
        <w:widowControl/>
        <w:spacing w:after="0" w:line="540" w:lineRule="exact"/>
        <w:ind w:firstLine="640" w:firstLineChars="200"/>
        <w:jc w:val="both"/>
        <w:rPr>
          <w:rFonts w:hint="eastAsia" w:ascii="仿宋_GB2312" w:hAnsi="宋体" w:eastAsia="仿宋_GB2312" w:cs="Times New Roman"/>
          <w:kern w:val="2"/>
          <w:sz w:val="32"/>
          <w:szCs w:val="32"/>
          <w:lang w:eastAsia="zh-CN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eastAsia="zh-CN"/>
        </w:rPr>
        <w:t>一是压紧压实法治建设责任。持续强化党政主要负责人第一责任人职责，定期研究部署法治政府建设工作，</w:t>
      </w:r>
      <w:bookmarkStart w:id="0" w:name="_GoBack"/>
      <w:bookmarkEnd w:id="0"/>
      <w:r>
        <w:rPr>
          <w:rFonts w:hint="eastAsia" w:ascii="仿宋_GB2312" w:hAnsi="宋体" w:eastAsia="仿宋_GB2312" w:cs="Times New Roman"/>
          <w:kern w:val="2"/>
          <w:sz w:val="32"/>
          <w:szCs w:val="32"/>
          <w:lang w:eastAsia="zh-CN"/>
        </w:rPr>
        <w:t>确保各项任务落到实处。</w:t>
      </w:r>
    </w:p>
    <w:p w14:paraId="7C3F1ADE">
      <w:pPr>
        <w:widowControl/>
        <w:spacing w:after="0" w:line="540" w:lineRule="exact"/>
        <w:ind w:firstLine="640" w:firstLineChars="200"/>
        <w:jc w:val="both"/>
        <w:rPr>
          <w:rFonts w:hint="eastAsia" w:ascii="仿宋_GB2312" w:hAnsi="宋体" w:eastAsia="仿宋_GB2312" w:cs="Times New Roman"/>
          <w:kern w:val="2"/>
          <w:sz w:val="32"/>
          <w:szCs w:val="32"/>
          <w:lang w:eastAsia="zh-CN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eastAsia="zh-CN"/>
        </w:rPr>
        <w:t>二是着力提升干部法治素养。常态化开展法治专题培训和专家讲座，用好线上学法平台，推动学法用法常态化、制度化。</w:t>
      </w:r>
    </w:p>
    <w:p w14:paraId="56838567">
      <w:pPr>
        <w:widowControl/>
        <w:spacing w:after="0" w:line="540" w:lineRule="exact"/>
        <w:ind w:firstLine="640" w:firstLineChars="200"/>
        <w:jc w:val="both"/>
        <w:rPr>
          <w:rFonts w:hint="eastAsia" w:ascii="仿宋_GB2312" w:hAnsi="宋体" w:eastAsia="仿宋_GB2312" w:cs="Times New Roman"/>
          <w:kern w:val="2"/>
          <w:sz w:val="32"/>
          <w:szCs w:val="32"/>
          <w:lang w:eastAsia="zh-CN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eastAsia="zh-CN"/>
        </w:rPr>
        <w:t>三是持续深化矛盾源头治理。健全矛盾纠纷排查化解长效机制，完善“三调联动”工作体系，提升调解工作规范化水平，扎实做好社区矫正和安置帮教工作，守牢安全稳定底线。</w:t>
      </w:r>
    </w:p>
    <w:p w14:paraId="4F5D643A">
      <w:pPr>
        <w:widowControl/>
        <w:spacing w:after="0" w:line="540" w:lineRule="exact"/>
        <w:ind w:firstLine="640" w:firstLineChars="200"/>
        <w:jc w:val="both"/>
        <w:rPr>
          <w:rFonts w:hint="eastAsia" w:ascii="仿宋_GB2312" w:hAnsi="宋体" w:eastAsia="仿宋_GB2312" w:cs="Times New Roman"/>
          <w:kern w:val="2"/>
          <w:sz w:val="32"/>
          <w:szCs w:val="32"/>
          <w:lang w:eastAsia="zh-CN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eastAsia="zh-CN"/>
        </w:rPr>
        <w:t>四是创新普法宣传方式方法。充分发挥微信公众号、短视频等新媒体作用，增强普法的趣味性和实效性，结合重要节点开展形式多样的宣传活动，不断扩大法治宣传覆盖面。</w:t>
      </w:r>
    </w:p>
    <w:p w14:paraId="08DEEAEF">
      <w:pPr>
        <w:widowControl/>
        <w:spacing w:after="0" w:line="540" w:lineRule="exact"/>
        <w:ind w:firstLine="640" w:firstLineChars="200"/>
        <w:jc w:val="both"/>
        <w:rPr>
          <w:rFonts w:hint="eastAsia" w:ascii="仿宋_GB2312" w:hAnsi="宋体" w:eastAsia="仿宋_GB2312" w:cs="Times New Roman"/>
          <w:kern w:val="2"/>
          <w:sz w:val="32"/>
          <w:szCs w:val="32"/>
          <w:lang w:eastAsia="zh-CN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eastAsia="zh-CN"/>
        </w:rPr>
        <w:t>五是夯实基层治理阵地。深入实施“党建促基层治理项目”，按照“九个有”标准推进基层治理阵地规范化建设，推动法治建设与基层治理深度融合，全面提升群众法治获得感和满意度。</w:t>
      </w:r>
    </w:p>
    <w:sectPr>
      <w:pgSz w:w="11906" w:h="16838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1785B98"/>
    <w:rsid w:val="04C84695"/>
    <w:rsid w:val="163B1ABF"/>
    <w:rsid w:val="1FC319F1"/>
    <w:rsid w:val="265A6D6B"/>
    <w:rsid w:val="53AF7E46"/>
    <w:rsid w:val="5F0B0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qFormat="1"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qFormat="1" w:unhideWhenUsed="0" w:uiPriority="71" w:semiHidden="0" w:name="Colorful Shading"/>
    <w:lsdException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unhideWhenUsed="0" w:uiPriority="62" w:semiHidden="0" w:name="Light Grid Accent 3"/>
    <w:lsdException w:qFormat="1"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qFormat="1" w:unhideWhenUsed="0" w:uiPriority="67" w:semiHidden="0" w:name="Medium Grid 1 Accent 4"/>
    <w:lsdException w:unhideWhenUsed="0" w:uiPriority="68" w:semiHidden="0" w:name="Medium Grid 2 Accent 4"/>
    <w:lsdException w:qFormat="1" w:unhideWhenUsed="0" w:uiPriority="69" w:semiHidden="0" w:name="Medium Grid 3 Accent 4"/>
    <w:lsdException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1952</Words>
  <Characters>1984</Characters>
  <Lines>0</Lines>
  <Paragraphs>0</Paragraphs>
  <TotalTime>17</TotalTime>
  <ScaleCrop>false</ScaleCrop>
  <LinksUpToDate>false</LinksUpToDate>
  <CharactersWithSpaces>1984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Gekyume</cp:lastModifiedBy>
  <dcterms:modified xsi:type="dcterms:W3CDTF">2026-09-18T03:01:42Z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eyJoZGlkIjoiNTdlMjkyMTMzNzAxZmJmZjQ3YzEyNTE3ZWQ3YWYzNTMiLCJ1c2VySWQiOiIxMDEyNTM5OTY0In0=</vt:lpwstr>
  </property>
  <property fmtid="{D5CDD505-2E9C-101B-9397-08002B2CF9AE}" pid="3" name="KSOProductBuildVer">
    <vt:lpwstr>2052-12.1.0.28505</vt:lpwstr>
  </property>
  <property fmtid="{D5CDD505-2E9C-101B-9397-08002B2CF9AE}" pid="4" name="ICV">
    <vt:lpwstr>E789D77F2A3B4E4FA08624CD5016F3E4_13</vt:lpwstr>
  </property>
</Properties>
</file>